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B49F2">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B49F2">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B49F2">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B49F2">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B49F2">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B49F2">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B49F2">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B49F2">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B49F2">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B49F2">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B49F2">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B49F2">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B49F2">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B49F2">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B49F2">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B49F2">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B49F2">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B49F2">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B49F2">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B49F2">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B49F2">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B49F2">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B49F2">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B49F2">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B49F2">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B49F2">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B49F2">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B49F2">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B49F2">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B49F2">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B49F2">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B49F2">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B49F2">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B49F2">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B49F2">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B49F2">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B49F2">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B49F2">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B49F2">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B49F2">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B49F2">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B49F2">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B49F2">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B49F2">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B49F2">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B49F2">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903E39" w:rsidR="00093CA9" w:rsidRDefault="00DA68EE"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EDD709F" w:rsidR="00093CA9" w:rsidRDefault="004A76A9" w:rsidP="00093CA9">
            <w:r w:rsidRPr="004A76A9">
              <w:t>PRA 'Dear CFO' Letter on 'Thematic feedback on accounting for IFRS 9 ECL and climate risk'</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2C6F332" w:rsidR="00093CA9" w:rsidRDefault="00DB49F2" w:rsidP="00093CA9">
            <w:hyperlink r:id="rId19" w:history="1">
              <w:r w:rsidR="003E4077" w:rsidRPr="00F5130E">
                <w:rPr>
                  <w:rStyle w:val="Hyperlink"/>
                </w:rPr>
                <w:t>https://web.archive.org/web/20250702161331/https://www.bankofengland.co.uk/-/media/boe/files/prudential-regulation/letter/2024/thematic-feedback-on-accounting-for-ifrs-9-ecl-and-climate-risk.pdf</w:t>
              </w:r>
            </w:hyperlink>
            <w:r w:rsidR="003E4077">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1E5F4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E7DD11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BCA6D05" w:rsidR="00093CA9" w:rsidRDefault="00950525"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85E57E2" w14:textId="4B007DB0" w:rsidR="00093CA9" w:rsidRDefault="007B35CA" w:rsidP="00093CA9">
            <w:r>
              <w:t>The policy tool lays out the trends in accounting for IFRS 9 expected credit losses (</w:t>
            </w:r>
            <w:r w:rsidR="0017664A">
              <w:t>“</w:t>
            </w:r>
            <w:r w:rsidRPr="0017664A">
              <w:rPr>
                <w:b/>
                <w:bCs/>
              </w:rPr>
              <w:t>ECL</w:t>
            </w:r>
            <w:r w:rsidR="0017664A">
              <w:t>”</w:t>
            </w:r>
            <w:r>
              <w:t>) and accounting for climate risks. It sets out the main feedback from the PRA’s review of the auditors’ responses</w:t>
            </w:r>
            <w:r w:rsidR="0043773E">
              <w:t xml:space="preserve"> to its questions on firm</w:t>
            </w:r>
            <w:r w:rsidR="009A4BC6">
              <w:t>s’ accounting for climate risks</w:t>
            </w:r>
            <w:r>
              <w:t>.</w:t>
            </w:r>
            <w:r w:rsidR="009A4BC6">
              <w:t xml:space="preserve"> The PRA have also used the policy tool to outline their near and medium term areas of focus for the accounting of climate risk.</w:t>
            </w:r>
          </w:p>
          <w:p w14:paraId="18257824" w14:textId="70522FE2" w:rsidR="009A4BC6" w:rsidRDefault="009A4BC6" w:rsidP="00093CA9">
            <w:r>
              <w:t xml:space="preserve">This policy does not itself set out new requirements for firms, but provides them with useful guidance as to the areas that the PRA will focus on and where they can improve their climate risk accounting.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9B451A5" w:rsidR="00093CA9" w:rsidRDefault="007B35C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DC73F68" w:rsidR="00093CA9" w:rsidRPr="00173D7C" w:rsidRDefault="007B35CA"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116D737" w:rsidR="00093CA9" w:rsidRPr="00173D7C" w:rsidRDefault="007B35CA"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BEB48B4" w:rsidR="00093CA9" w:rsidRDefault="007B35CA" w:rsidP="00093CA9">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FFB330F" w:rsidR="00093CA9" w:rsidRPr="006B7B0D" w:rsidRDefault="007B35CA" w:rsidP="00093CA9">
            <w:r>
              <w:t>Prudential Regulation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2E2B245" w:rsidR="00093CA9" w:rsidRPr="006B7B0D" w:rsidRDefault="007B35C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17664A" w14:paraId="50F2DDFC" w14:textId="77777777" w:rsidTr="2452D0D6">
        <w:trPr>
          <w:trHeight w:val="1020"/>
        </w:trPr>
        <w:tc>
          <w:tcPr>
            <w:tcW w:w="1063" w:type="dxa"/>
            <w:vAlign w:val="center"/>
          </w:tcPr>
          <w:p w14:paraId="6B62A7E8" w14:textId="77777777" w:rsidR="0017664A" w:rsidRDefault="0017664A" w:rsidP="0017664A"/>
        </w:tc>
        <w:tc>
          <w:tcPr>
            <w:tcW w:w="9169" w:type="dxa"/>
            <w:gridSpan w:val="4"/>
            <w:shd w:val="clear" w:color="auto" w:fill="auto"/>
            <w:vAlign w:val="center"/>
          </w:tcPr>
          <w:p w14:paraId="46D40F0B" w14:textId="77777777" w:rsidR="0017664A" w:rsidRDefault="0017664A" w:rsidP="0017664A">
            <w:r>
              <w:t xml:space="preserve">The PRA is one of the three main financial regulatory bodies in the United Kingdom. It is  responsible for overseeing and ensuring the safety and soundness of financial institutions such as banks, building societies, credit unions, insurers, and major investment firms. </w:t>
            </w:r>
          </w:p>
          <w:p w14:paraId="42D06D03" w14:textId="5051EE6A" w:rsidR="0017664A" w:rsidRDefault="0017664A" w:rsidP="0017664A">
            <w:r>
              <w:t>The PRA has strong enforcement capacity, supported by a well-defined regulatory framework, specialized expertise across finance, risk management, and proactive supervision. The body has significant powers to ensure compliance and manage financial crises.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8F8F8A8" w:rsidR="00093CA9" w:rsidRDefault="007B35C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8A0F804" w:rsidR="00093CA9" w:rsidRPr="008017F9" w:rsidRDefault="009A4BC6" w:rsidP="00E82ADD">
            <w:pPr>
              <w:keepNext/>
              <w:rPr>
                <w:color w:val="000000" w:themeColor="text1"/>
              </w:rPr>
            </w:pPr>
            <w:r>
              <w:rPr>
                <w:color w:val="000000" w:themeColor="text1"/>
              </w:rPr>
              <w:t>Within the ‘</w:t>
            </w:r>
            <w:r>
              <w:rPr>
                <w:i/>
                <w:iCs/>
                <w:color w:val="000000" w:themeColor="text1"/>
              </w:rPr>
              <w:t xml:space="preserve">Next </w:t>
            </w:r>
            <w:r w:rsidRPr="009A4BC6">
              <w:rPr>
                <w:i/>
                <w:iCs/>
                <w:color w:val="000000" w:themeColor="text1"/>
              </w:rPr>
              <w:t>Steps</w:t>
            </w:r>
            <w:r>
              <w:rPr>
                <w:color w:val="000000" w:themeColor="text1"/>
              </w:rPr>
              <w:t xml:space="preserve">’ sub-section of the policy (page 3), the PRA sets out the relevant monitoring systems for the accounting for climate risk. </w:t>
            </w:r>
            <w:r w:rsidR="007B35CA" w:rsidRPr="009A4BC6">
              <w:rPr>
                <w:color w:val="000000" w:themeColor="text1"/>
              </w:rPr>
              <w:t>The</w:t>
            </w:r>
            <w:r w:rsidR="007B35CA">
              <w:rPr>
                <w:color w:val="000000" w:themeColor="text1"/>
              </w:rPr>
              <w:t xml:space="preserve"> PRA confers with auditors to track progress on adoption of climate risk integration into firms’ practices. The PRA has a supervisory role in ensuring policies are being implemented</w:t>
            </w:r>
            <w:r w:rsidR="00E82ADD">
              <w:rPr>
                <w:color w:val="000000" w:themeColor="text1"/>
              </w:rPr>
              <w:t xml:space="preserve"> and has a full set of supervisory tools available to it. The PRA expects that it will also provide firm-specific feedback through meetings between firms, their auditors and their PRA supervisors. </w:t>
            </w:r>
            <w:r>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17664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7B35CA" w:rsidRDefault="00107CE2" w:rsidP="00DD3144">
            <w:pPr>
              <w:rPr>
                <w:lang w:val="fr-FR"/>
              </w:rPr>
            </w:pPr>
            <w:r w:rsidRPr="007B35CA">
              <w:rPr>
                <w:lang w:val="fr-FR"/>
              </w:rPr>
              <w:t>Minimum revenue (Enter minimum revenue)</w:t>
            </w:r>
          </w:p>
        </w:tc>
        <w:tc>
          <w:tcPr>
            <w:tcW w:w="4910" w:type="dxa"/>
            <w:gridSpan w:val="7"/>
            <w:shd w:val="clear" w:color="auto" w:fill="auto"/>
            <w:vAlign w:val="center"/>
          </w:tcPr>
          <w:p w14:paraId="2518BD70" w14:textId="77777777" w:rsidR="00524D54" w:rsidRPr="007B35CA" w:rsidRDefault="00524D54" w:rsidP="00DD3144">
            <w:pPr>
              <w:rPr>
                <w:lang w:val="fr-FR"/>
              </w:rPr>
            </w:pPr>
          </w:p>
        </w:tc>
      </w:tr>
      <w:tr w:rsidR="00524D54" w:rsidRPr="00D1195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17664A"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7B35CA" w:rsidRDefault="00B0479E" w:rsidP="00DD3144">
            <w:pPr>
              <w:rPr>
                <w:lang w:val="fr-FR"/>
              </w:rPr>
            </w:pPr>
            <w:r w:rsidRPr="007B35CA">
              <w:rPr>
                <w:rFonts w:ascii="Calibri" w:hAnsi="Calibri" w:cs="Calibri"/>
                <w:lang w:val="fr-FR"/>
              </w:rPr>
              <w:t xml:space="preserve">Carbon </w:t>
            </w:r>
            <w:proofErr w:type="spellStart"/>
            <w:r w:rsidRPr="007B35CA">
              <w:rPr>
                <w:rFonts w:ascii="Calibri" w:hAnsi="Calibri" w:cs="Calibri"/>
                <w:lang w:val="fr-FR"/>
              </w:rPr>
              <w:t>dioxide</w:t>
            </w:r>
            <w:proofErr w:type="spellEnd"/>
            <w:r w:rsidRPr="007B35CA">
              <w:rPr>
                <w:rFonts w:ascii="Calibri" w:hAnsi="Calibri" w:cs="Calibri"/>
                <w:lang w:val="fr-FR"/>
              </w:rPr>
              <w:t xml:space="preserve"> </w:t>
            </w:r>
            <w:proofErr w:type="spellStart"/>
            <w:r w:rsidRPr="007B35CA">
              <w:rPr>
                <w:rFonts w:ascii="Calibri" w:hAnsi="Calibri" w:cs="Calibri"/>
                <w:lang w:val="fr-FR"/>
              </w:rPr>
              <w:t>equivalent</w:t>
            </w:r>
            <w:proofErr w:type="spellEnd"/>
            <w:r w:rsidRPr="007B35CA">
              <w:rPr>
                <w:rFonts w:ascii="Calibri" w:hAnsi="Calibri" w:cs="Calibri"/>
                <w:lang w:val="fr-FR"/>
              </w:rPr>
              <w:t xml:space="preserve"> (</w:t>
            </w:r>
            <w:proofErr w:type="spellStart"/>
            <w:r w:rsidRPr="007B35CA">
              <w:rPr>
                <w:rFonts w:ascii="Calibri" w:hAnsi="Calibri" w:cs="Calibri"/>
                <w:lang w:val="fr-FR"/>
              </w:rPr>
              <w:t>CO₂e</w:t>
            </w:r>
            <w:proofErr w:type="spellEnd"/>
            <w:r w:rsidRPr="007B35CA">
              <w:rPr>
                <w:rFonts w:ascii="Calibri" w:hAnsi="Calibri" w:cs="Calibri"/>
                <w:lang w:val="fr-FR"/>
              </w:rPr>
              <w:t xml:space="preserve">) </w:t>
            </w:r>
          </w:p>
        </w:tc>
        <w:tc>
          <w:tcPr>
            <w:tcW w:w="3330" w:type="dxa"/>
            <w:gridSpan w:val="2"/>
            <w:shd w:val="clear" w:color="auto" w:fill="auto"/>
            <w:vAlign w:val="center"/>
          </w:tcPr>
          <w:p w14:paraId="7C41530E" w14:textId="769FE26A" w:rsidR="00B0479E" w:rsidRPr="007B35CA"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17664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7B35CA" w:rsidRDefault="004F276F" w:rsidP="00C37D48">
            <w:pPr>
              <w:rPr>
                <w:rFonts w:ascii="Calibri" w:hAnsi="Calibri" w:cs="Calibri"/>
                <w:lang w:val="fr-FR"/>
              </w:rPr>
            </w:pPr>
            <w:r w:rsidRPr="007B35C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7B35CA" w:rsidRDefault="004F276F" w:rsidP="00C37D48">
            <w:pPr>
              <w:rPr>
                <w:rFonts w:ascii="Calibri" w:hAnsi="Calibri" w:cs="Calibri"/>
                <w:lang w:val="fr-FR"/>
              </w:rPr>
            </w:pPr>
          </w:p>
        </w:tc>
      </w:tr>
      <w:tr w:rsidR="004F276F" w:rsidRPr="00D1195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17664A"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7B35CA" w:rsidRDefault="003A2E5E" w:rsidP="00C37D48">
            <w:pPr>
              <w:rPr>
                <w:rFonts w:ascii="Calibri" w:hAnsi="Calibri" w:cs="Calibri"/>
                <w:lang w:val="fr-FR"/>
              </w:rPr>
            </w:pPr>
            <w:r w:rsidRPr="007B35CA">
              <w:rPr>
                <w:rFonts w:ascii="Calibri" w:hAnsi="Calibri" w:cs="Calibri"/>
                <w:lang w:val="fr-FR"/>
              </w:rPr>
              <w:t xml:space="preserve">Carbon </w:t>
            </w:r>
            <w:proofErr w:type="spellStart"/>
            <w:r w:rsidRPr="007B35CA">
              <w:rPr>
                <w:rFonts w:ascii="Calibri" w:hAnsi="Calibri" w:cs="Calibri"/>
                <w:lang w:val="fr-FR"/>
              </w:rPr>
              <w:t>dioxide</w:t>
            </w:r>
            <w:proofErr w:type="spellEnd"/>
            <w:r w:rsidRPr="007B35CA">
              <w:rPr>
                <w:rFonts w:ascii="Calibri" w:hAnsi="Calibri" w:cs="Calibri"/>
                <w:lang w:val="fr-FR"/>
              </w:rPr>
              <w:t xml:space="preserve"> </w:t>
            </w:r>
            <w:proofErr w:type="spellStart"/>
            <w:r w:rsidRPr="007B35CA">
              <w:rPr>
                <w:rFonts w:ascii="Calibri" w:hAnsi="Calibri" w:cs="Calibri"/>
                <w:lang w:val="fr-FR"/>
              </w:rPr>
              <w:t>equivalent</w:t>
            </w:r>
            <w:proofErr w:type="spellEnd"/>
            <w:r w:rsidRPr="007B35CA">
              <w:rPr>
                <w:rFonts w:ascii="Calibri" w:hAnsi="Calibri" w:cs="Calibri"/>
                <w:lang w:val="fr-FR"/>
              </w:rPr>
              <w:t xml:space="preserve"> (</w:t>
            </w:r>
            <w:proofErr w:type="spellStart"/>
            <w:r w:rsidRPr="007B35CA">
              <w:rPr>
                <w:rFonts w:ascii="Calibri" w:hAnsi="Calibri" w:cs="Calibri"/>
                <w:lang w:val="fr-FR"/>
              </w:rPr>
              <w:t>CO₂e</w:t>
            </w:r>
            <w:proofErr w:type="spellEnd"/>
            <w:r w:rsidRPr="007B35CA">
              <w:rPr>
                <w:rFonts w:ascii="Calibri" w:hAnsi="Calibri" w:cs="Calibri"/>
                <w:lang w:val="fr-FR"/>
              </w:rPr>
              <w:t>)  </w:t>
            </w:r>
          </w:p>
        </w:tc>
        <w:tc>
          <w:tcPr>
            <w:tcW w:w="5300" w:type="dxa"/>
            <w:gridSpan w:val="3"/>
            <w:shd w:val="clear" w:color="auto" w:fill="auto"/>
            <w:vAlign w:val="center"/>
          </w:tcPr>
          <w:p w14:paraId="4064936F" w14:textId="77777777" w:rsidR="003A2E5E" w:rsidRPr="007B35CA"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17664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7B35CA" w:rsidRDefault="00C66EE0" w:rsidP="00610F28">
            <w:pPr>
              <w:rPr>
                <w:rFonts w:ascii="Calibri" w:hAnsi="Calibri" w:cs="Calibri"/>
                <w:lang w:val="fr-FR"/>
              </w:rPr>
            </w:pPr>
            <w:r w:rsidRPr="007B35C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7B35CA" w:rsidRDefault="00C66EE0" w:rsidP="00610F28">
            <w:pPr>
              <w:rPr>
                <w:rFonts w:ascii="Calibri" w:hAnsi="Calibri" w:cs="Calibri"/>
                <w:lang w:val="fr-FR"/>
              </w:rPr>
            </w:pPr>
          </w:p>
        </w:tc>
      </w:tr>
      <w:tr w:rsidR="00241257" w:rsidRPr="00D1195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7664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7B35CA" w:rsidRDefault="00092534" w:rsidP="00CF2E7C">
            <w:pPr>
              <w:rPr>
                <w:rFonts w:ascii="Calibri" w:hAnsi="Calibri" w:cs="Calibri"/>
                <w:lang w:val="fr-FR"/>
              </w:rPr>
            </w:pPr>
            <w:r w:rsidRPr="007B35C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7B35CA" w:rsidRDefault="00092534" w:rsidP="00CF2E7C">
            <w:pPr>
              <w:rPr>
                <w:rFonts w:ascii="Calibri" w:hAnsi="Calibri" w:cs="Calibri"/>
                <w:lang w:val="fr-FR"/>
              </w:rPr>
            </w:pPr>
          </w:p>
        </w:tc>
      </w:tr>
      <w:tr w:rsidR="00092534" w:rsidRPr="00D1195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B25BFB4" w:rsidR="00D4323A" w:rsidRPr="00CF2E7C" w:rsidRDefault="007B35CA"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42380095" w:rsidR="00D4323A" w:rsidRPr="00CF2E7C" w:rsidRDefault="007B35CA"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97B23B3" w:rsidR="00D4323A" w:rsidRPr="00CF2E7C" w:rsidRDefault="007B35CA"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0415867D" w:rsidR="00D4323A" w:rsidRPr="00CF2E7C" w:rsidRDefault="007B35CA"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8D511A5" w:rsidR="00D4323A" w:rsidRPr="00CF2E7C" w:rsidRDefault="007B35CA"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112D589" w:rsidR="00D4323A" w:rsidRPr="00CF2E7C" w:rsidRDefault="007B35CA"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3A96C681" w:rsidR="00D4323A" w:rsidRPr="00CF2E7C" w:rsidRDefault="007B35CA"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454A259E" w:rsidR="00D4323A" w:rsidRPr="00CF2E7C" w:rsidRDefault="007B35CA"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489207AC" w:rsidR="00D4323A" w:rsidRPr="00CF2E7C" w:rsidRDefault="007B35CA"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253D3331" w:rsidR="00D4323A" w:rsidRPr="00CF2E7C" w:rsidRDefault="007B35CA"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37E1B33F" w:rsidR="00D4323A" w:rsidRPr="00CF2E7C" w:rsidRDefault="007B35CA"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68A6468F" w:rsidR="00D4323A" w:rsidRPr="00CF2E7C" w:rsidRDefault="007B35CA" w:rsidP="00CF2E7C">
            <w:pPr>
              <w:rPr>
                <w:rFonts w:ascii="Calibri" w:hAnsi="Calibri" w:cs="Calibri"/>
              </w:rPr>
            </w:pPr>
            <w:r>
              <w:rPr>
                <w:rFonts w:ascii="Calibri" w:hAnsi="Calibri" w:cs="Calibri"/>
              </w:rPr>
              <w:t>X</w:t>
            </w: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4DEDD183" w:rsidR="00D4323A" w:rsidRPr="00CF2E7C" w:rsidRDefault="007B35CA"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378B6834" w:rsidR="00DD292A" w:rsidRPr="00CF2E7C" w:rsidRDefault="007B35CA"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23A18392" w:rsidR="00DD292A" w:rsidRPr="00CF2E7C" w:rsidRDefault="007B35CA"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A297604" w:rsidR="00DD292A" w:rsidRPr="00CF2E7C" w:rsidRDefault="007B35CA"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0641454B" w:rsidR="00DD292A" w:rsidRPr="00CF2E7C" w:rsidRDefault="007B35CA"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110C0C24" w:rsidR="00DD292A" w:rsidRPr="00CF2E7C" w:rsidRDefault="007B35CA"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163A75E8" w:rsidR="00DD292A" w:rsidRPr="00CF2E7C" w:rsidRDefault="007B35CA"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249C3C15" w:rsidR="00DD292A" w:rsidRPr="00CF2E7C" w:rsidRDefault="00734D17"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18B9AFE6" w:rsidR="00DD292A" w:rsidRPr="00CF2E7C" w:rsidRDefault="00734D17"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269DBBDC" w:rsidR="00DD292A" w:rsidRPr="00CF2E7C" w:rsidRDefault="00734D17"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0C3CAE55" w:rsidR="00DD292A" w:rsidRPr="00CF2E7C" w:rsidRDefault="00734D17"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0EF8AA54" w:rsidR="00DD292A" w:rsidRPr="00CF2E7C" w:rsidRDefault="00734D17"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4AB1BE0" w:rsidR="00DD292A" w:rsidRPr="00CF2E7C" w:rsidRDefault="00734D17"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63594587" w:rsidR="00DD292A" w:rsidRPr="00CF2E7C" w:rsidRDefault="00734D17"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2CD2E45" w:rsidR="00DD292A" w:rsidRPr="00CF2E7C" w:rsidRDefault="00734D17"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4475124A" w:rsidR="00DD292A" w:rsidRPr="00CF2E7C" w:rsidRDefault="00734D17"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5A4B7939" w:rsidR="00DD292A" w:rsidRPr="00CF2E7C" w:rsidRDefault="00734D17"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1C765F78" w:rsidR="00DD292A" w:rsidRPr="00CF2E7C" w:rsidRDefault="00734D17"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04393752" w:rsidR="00DD292A" w:rsidRPr="00CF2E7C" w:rsidRDefault="00734D17"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220BE529" w:rsidR="00DD292A" w:rsidRPr="00CF2E7C" w:rsidRDefault="00734D17"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3D631B5B" w:rsidR="00DD292A" w:rsidRPr="00CF2E7C" w:rsidRDefault="00734D17"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1E1D3426" w:rsidR="00DD292A" w:rsidRPr="00CF2E7C" w:rsidRDefault="00734D17"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61665139" w:rsidR="00DD292A" w:rsidRPr="00CF2E7C" w:rsidRDefault="00734D17"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2D46D31F" w:rsidR="00DD292A" w:rsidRPr="00CF2E7C" w:rsidRDefault="00734D17"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111E16D2" w:rsidR="00DD292A" w:rsidRPr="00CF2E7C" w:rsidRDefault="00734D17"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4A5E1F80" w:rsidR="00DD292A" w:rsidRPr="00CF2E7C" w:rsidRDefault="00734D17"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17EB4798" w:rsidR="00DD292A" w:rsidRPr="00CF2E7C" w:rsidRDefault="00734D17"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382660BF" w:rsidR="00DD292A" w:rsidRPr="00CF2E7C" w:rsidRDefault="00734D17"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335A40A6" w:rsidR="00DD292A" w:rsidRPr="00CF2E7C" w:rsidRDefault="00734D17"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7664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7B35CA" w:rsidRDefault="00DD292A" w:rsidP="00CF2E7C">
            <w:pPr>
              <w:rPr>
                <w:rFonts w:ascii="Calibri" w:hAnsi="Calibri" w:cs="Calibri"/>
                <w:lang w:val="fr-FR"/>
              </w:rPr>
            </w:pPr>
            <w:r w:rsidRPr="007B35CA">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7B35CA" w:rsidRDefault="00DD292A" w:rsidP="00CF2E7C">
            <w:pPr>
              <w:rPr>
                <w:rFonts w:ascii="Calibri" w:hAnsi="Calibri" w:cs="Calibri"/>
                <w:lang w:val="fr-FR"/>
              </w:rPr>
            </w:pPr>
          </w:p>
        </w:tc>
      </w:tr>
      <w:tr w:rsidR="00DD292A" w:rsidRPr="00D1195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70B21F1F" w14:textId="0B28E791" w:rsidR="00DD292A" w:rsidRDefault="00E82ADD" w:rsidP="00CF2E7C">
            <w:r>
              <w:t>The policy tool is based on the auditor reports that the PRA received under Chapter 8 of the Auditors part of the PRA Rulebook. As such, the feedback is directly addressed to the CFOs of large UK-based banks</w:t>
            </w:r>
            <w:r w:rsidR="00A531BB">
              <w:t xml:space="preserve"> (those with a balance sheet total greater than £50</w:t>
            </w:r>
            <w:r w:rsidR="0017664A">
              <w:t xml:space="preserve"> billion</w:t>
            </w:r>
            <w:r w:rsidR="00A531BB">
              <w:t xml:space="preserve"> individually or as part of a group on a consolidated basis)</w:t>
            </w:r>
            <w:r>
              <w:t xml:space="preserve">. </w:t>
            </w:r>
          </w:p>
          <w:p w14:paraId="00B7C4FE" w14:textId="6124B22B" w:rsidR="00E82ADD" w:rsidRPr="00CF2E7C" w:rsidRDefault="00A531BB" w:rsidP="00CF2E7C">
            <w:pPr>
              <w:rPr>
                <w:rFonts w:ascii="Calibri" w:hAnsi="Calibri" w:cs="Calibri"/>
              </w:rPr>
            </w:pPr>
            <w:r>
              <w:rPr>
                <w:rFonts w:ascii="Calibri" w:hAnsi="Calibri" w:cs="Calibri"/>
              </w:rPr>
              <w:t xml:space="preserve">That being said, the PRA also notes that the policy tool will be useful for firms outside the scope of the auditor reporting rule, but which apply IFRS 9. </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50C603B7" w:rsidR="00DD292A" w:rsidRPr="00CF2E7C" w:rsidRDefault="00734D17"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57895EBE" w:rsidR="00DD3B33" w:rsidRPr="00CF2E7C" w:rsidRDefault="00734D17"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lastRenderedPageBreak/>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5ABF217D" w:rsidR="00203846" w:rsidRPr="00A409A6" w:rsidRDefault="00753DD8" w:rsidP="00A409A6">
            <w:pPr>
              <w:rPr>
                <w:rFonts w:ascii="Calibri" w:hAnsi="Calibri" w:cs="Calibri"/>
              </w:rPr>
            </w:pPr>
            <w:r>
              <w:rPr>
                <w:rFonts w:ascii="Calibri" w:hAnsi="Calibri" w:cs="Calibri"/>
              </w:rPr>
              <w:t xml:space="preserve">The policy tool is thematic guidance, not a policy </w:t>
            </w:r>
            <w:r w:rsidR="00A409A6">
              <w:rPr>
                <w:rFonts w:ascii="Calibri" w:hAnsi="Calibri" w:cs="Calibri"/>
              </w:rPr>
              <w:t>statement</w:t>
            </w:r>
            <w:r>
              <w:rPr>
                <w:rFonts w:ascii="Calibri" w:hAnsi="Calibri" w:cs="Calibri"/>
              </w:rPr>
              <w:t xml:space="preserve"> or requirement, and so it does not have any associated sanctions</w:t>
            </w:r>
            <w:r w:rsidR="00A409A6">
              <w:rPr>
                <w:rFonts w:ascii="Calibri" w:hAnsi="Calibri" w:cs="Calibri"/>
              </w:rPr>
              <w:t xml:space="preserve"> for non-compliance</w:t>
            </w:r>
            <w:r>
              <w:rPr>
                <w:rFonts w:ascii="Calibri" w:hAnsi="Calibri" w:cs="Calibri"/>
              </w:rPr>
              <w:t xml:space="preserve">. </w:t>
            </w:r>
            <w:r w:rsidR="00203846">
              <w:rPr>
                <w:rFonts w:ascii="Calibri" w:hAnsi="Calibri" w:cs="Calibri"/>
              </w:rPr>
              <w:t>In Annex 2, the policy tool states that “</w:t>
            </w:r>
            <w:r w:rsidR="00203846" w:rsidRPr="00753DD8">
              <w:rPr>
                <w:rFonts w:ascii="Calibri" w:hAnsi="Calibri" w:cs="Calibri"/>
                <w:i/>
                <w:iCs/>
              </w:rPr>
              <w:t>the PRA will play an active role in promoting high quality and consistent accounting for climate change.</w:t>
            </w:r>
            <w:r w:rsidR="00203846">
              <w:rPr>
                <w:rFonts w:ascii="Calibri" w:hAnsi="Calibri" w:cs="Calibri"/>
              </w:rPr>
              <w:t>” However, there is no specified sanction</w:t>
            </w:r>
            <w:r>
              <w:rPr>
                <w:rFonts w:ascii="Calibri" w:hAnsi="Calibri" w:cs="Calibri"/>
              </w:rPr>
              <w:t xml:space="preserve"> for breach of any</w:t>
            </w:r>
            <w:r w:rsidR="00A409A6">
              <w:rPr>
                <w:rFonts w:ascii="Calibri" w:hAnsi="Calibri" w:cs="Calibri"/>
              </w:rPr>
              <w:t xml:space="preserve"> particular</w:t>
            </w:r>
            <w:r>
              <w:rPr>
                <w:rFonts w:ascii="Calibri" w:hAnsi="Calibri" w:cs="Calibri"/>
              </w:rPr>
              <w:t xml:space="preserve"> standards</w:t>
            </w:r>
            <w:r w:rsidR="00A409A6">
              <w:rPr>
                <w:rFonts w:ascii="Calibri" w:hAnsi="Calibri" w:cs="Calibri"/>
              </w:rPr>
              <w:t>, and the PRA will utilise its existing supervisory toolkit in relation thereto.</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275180CD"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CC70A25"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2DB34C7E" w:rsidR="00DD292A" w:rsidRPr="00CF2E7C" w:rsidRDefault="00203846"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6F430045" w:rsidR="00DD292A" w:rsidRPr="00CF2E7C" w:rsidRDefault="00203846" w:rsidP="00CF2E7C">
            <w:pPr>
              <w:rPr>
                <w:rFonts w:ascii="Calibri" w:hAnsi="Calibri" w:cs="Calibri"/>
              </w:rPr>
            </w:pPr>
            <w:r>
              <w:rPr>
                <w:rFonts w:ascii="Calibri" w:hAnsi="Calibri" w:cs="Calibri"/>
              </w:rPr>
              <w:t>The letter identifies gaps</w:t>
            </w:r>
            <w:r w:rsidR="00DB49F2">
              <w:rPr>
                <w:rFonts w:ascii="Calibri" w:hAnsi="Calibri" w:cs="Calibri"/>
              </w:rPr>
              <w:t xml:space="preserve"> in implementation</w:t>
            </w:r>
            <w:r>
              <w:rPr>
                <w:rFonts w:ascii="Calibri" w:hAnsi="Calibri" w:cs="Calibri"/>
              </w:rPr>
              <w:t>, but does not specify which firms are lagging.</w:t>
            </w:r>
            <w:r w:rsidR="00753DD8">
              <w:rPr>
                <w:rFonts w:ascii="Calibri" w:hAnsi="Calibri" w:cs="Calibri"/>
              </w:rPr>
              <w:t xml:space="preserve"> The policy tool is thematic guidance and therefore not something that can, by its nature, be enforced. </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lastRenderedPageBreak/>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02E3370" w:rsidR="00DD292A" w:rsidRPr="00CF2E7C" w:rsidRDefault="00203846"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5B234FE1" w:rsidR="00410853" w:rsidRPr="00CF2E7C" w:rsidRDefault="002038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1C9DDC27" w:rsidR="00410853" w:rsidRPr="00CF2E7C" w:rsidRDefault="00A02E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2A28E25"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5509924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8D00EB5" w:rsidR="00F632FB" w:rsidRPr="00CF2E7C" w:rsidRDefault="002038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1B6A9C14" w:rsidR="00F632FB" w:rsidRPr="00CF2E7C" w:rsidRDefault="006319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74BC59DB" w:rsidR="00F632FB" w:rsidRPr="00CF2E7C" w:rsidRDefault="002038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60D1222C" w:rsidR="008C4722" w:rsidRPr="00CF2E7C" w:rsidRDefault="002038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218EBE4" w:rsidR="008C4722" w:rsidRPr="00CF2E7C" w:rsidRDefault="002038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11E77FA" w:rsidR="008C4722" w:rsidRPr="00CF2E7C" w:rsidRDefault="002038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A4AAD9" w14:textId="5BD7943B" w:rsidR="008C4722" w:rsidRDefault="002038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631963">
              <w:rPr>
                <w:rFonts w:ascii="Calibri" w:eastAsia="Times New Roman" w:hAnsi="Calibri" w:cs="Calibri"/>
                <w:kern w:val="0"/>
                <w:lang w:eastAsia="en-GB"/>
                <w14:ligatures w14:val="none"/>
              </w:rPr>
              <w:t xml:space="preserve">policy </w:t>
            </w:r>
            <w:r>
              <w:rPr>
                <w:rFonts w:ascii="Calibri" w:eastAsia="Times New Roman" w:hAnsi="Calibri" w:cs="Calibri"/>
                <w:kern w:val="0"/>
                <w:lang w:eastAsia="en-GB"/>
                <w14:ligatures w14:val="none"/>
              </w:rPr>
              <w:t xml:space="preserve">tool seeks to promote high quality implementation of accounting standards </w:t>
            </w:r>
            <w:r w:rsidR="00DB49F2">
              <w:rPr>
                <w:rFonts w:ascii="Calibri" w:eastAsia="Times New Roman" w:hAnsi="Calibri" w:cs="Calibri"/>
                <w:kern w:val="0"/>
                <w:lang w:eastAsia="en-GB"/>
                <w14:ligatures w14:val="none"/>
              </w:rPr>
              <w:t>by</w:t>
            </w:r>
            <w:r>
              <w:rPr>
                <w:rFonts w:ascii="Calibri" w:eastAsia="Times New Roman" w:hAnsi="Calibri" w:cs="Calibri"/>
                <w:kern w:val="0"/>
                <w:lang w:eastAsia="en-GB"/>
                <w14:ligatures w14:val="none"/>
              </w:rPr>
              <w:t xml:space="preserve"> PRA-authori</w:t>
            </w:r>
            <w:r w:rsidR="00DB49F2">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ed firms, with a particular focus on climate risks.</w:t>
            </w:r>
            <w:r w:rsidR="00631963">
              <w:rPr>
                <w:rFonts w:ascii="Calibri" w:eastAsia="Times New Roman" w:hAnsi="Calibri" w:cs="Calibri"/>
                <w:kern w:val="0"/>
                <w:lang w:eastAsia="en-GB"/>
                <w14:ligatures w14:val="none"/>
              </w:rPr>
              <w:t xml:space="preserve"> Within Annex 2 of the policy tool, the PRA </w:t>
            </w:r>
            <w:r w:rsidR="00062E2A">
              <w:rPr>
                <w:rFonts w:ascii="Calibri" w:eastAsia="Times New Roman" w:hAnsi="Calibri" w:cs="Calibri"/>
                <w:kern w:val="0"/>
                <w:lang w:eastAsia="en-GB"/>
                <w14:ligatures w14:val="none"/>
              </w:rPr>
              <w:t xml:space="preserve">sets out areas of focus for the near-term and the medium-term. </w:t>
            </w:r>
          </w:p>
          <w:p w14:paraId="6DC2414E" w14:textId="44FA85F9" w:rsidR="00D7437F" w:rsidRDefault="00062E2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near-term areas of focus include: (i) greater focus on the completeness of climate-related risk drivers (page 21); (ii) enhancing the quantitative methodologies used to assess risk, moving beyond the current focus on just qualitative risk assessments (page 23); (</w:t>
            </w:r>
            <w:r w:rsidR="00D7437F">
              <w:rPr>
                <w:rFonts w:ascii="Calibri" w:eastAsia="Times New Roman" w:hAnsi="Calibri" w:cs="Calibri"/>
                <w:kern w:val="0"/>
                <w:lang w:eastAsia="en-GB"/>
                <w14:ligatures w14:val="none"/>
              </w:rPr>
              <w:t xml:space="preserve">iii) the further embedding of climate risk into credit risk assessments (page 23); and (iv) the consideration of a wider range of climate-related factors in the economic scenarios used to work out </w:t>
            </w:r>
            <w:r w:rsidR="00DB49F2">
              <w:rPr>
                <w:rFonts w:ascii="Calibri" w:eastAsia="Times New Roman" w:hAnsi="Calibri" w:cs="Calibri"/>
                <w:kern w:val="0"/>
                <w:lang w:eastAsia="en-GB"/>
                <w14:ligatures w14:val="none"/>
              </w:rPr>
              <w:t>ECL.</w:t>
            </w:r>
            <w:r w:rsidR="00D7437F">
              <w:rPr>
                <w:rFonts w:ascii="Calibri" w:eastAsia="Times New Roman" w:hAnsi="Calibri" w:cs="Calibri"/>
                <w:kern w:val="0"/>
                <w:lang w:eastAsia="en-GB"/>
                <w14:ligatures w14:val="none"/>
              </w:rPr>
              <w:t xml:space="preserve"> </w:t>
            </w:r>
          </w:p>
          <w:p w14:paraId="2872F9E9" w14:textId="3AEB53A4" w:rsidR="00062E2A" w:rsidRDefault="00D743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medium-term areas of focus include the identification of data and models to</w:t>
            </w:r>
            <w:r w:rsidR="002F639F">
              <w:rPr>
                <w:rFonts w:ascii="Calibri" w:eastAsia="Times New Roman" w:hAnsi="Calibri" w:cs="Calibri"/>
                <w:kern w:val="0"/>
                <w:lang w:eastAsia="en-GB"/>
                <w14:ligatures w14:val="none"/>
              </w:rPr>
              <w:t xml:space="preserve"> help firms with the adequate accounting of climate-related risk factors into their loan level ECL estimates (</w:t>
            </w:r>
            <w:r w:rsidR="00DB49F2">
              <w:rPr>
                <w:rFonts w:ascii="Calibri" w:eastAsia="Times New Roman" w:hAnsi="Calibri" w:cs="Calibri"/>
                <w:kern w:val="0"/>
                <w:lang w:eastAsia="en-GB"/>
                <w14:ligatures w14:val="none"/>
              </w:rPr>
              <w:t>page</w:t>
            </w:r>
            <w:r w:rsidR="002F639F">
              <w:rPr>
                <w:rFonts w:ascii="Calibri" w:eastAsia="Times New Roman" w:hAnsi="Calibri" w:cs="Calibri"/>
                <w:kern w:val="0"/>
                <w:lang w:eastAsia="en-GB"/>
                <w14:ligatures w14:val="none"/>
              </w:rPr>
              <w:t xml:space="preserve"> 25). </w:t>
            </w:r>
          </w:p>
          <w:p w14:paraId="39FC6AFA" w14:textId="651123BB" w:rsidR="00062E2A" w:rsidRPr="00CF2E7C" w:rsidRDefault="00062E2A"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1E4EB052" w:rsidR="008C4722" w:rsidRPr="00CF2E7C" w:rsidRDefault="002038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39B968" w:rsidR="007B7DEE" w:rsidRPr="00CF2E7C" w:rsidRDefault="00A02E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778AA30B" w:rsidR="00ED7E12" w:rsidRPr="00CF2E7C" w:rsidRDefault="00A02E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E7E159C" w:rsidR="00ED7E12" w:rsidRPr="00CF2E7C" w:rsidRDefault="00DF29A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 the introduction, the policy tool states that PRA s</w:t>
            </w:r>
            <w:r w:rsidRPr="00DF29AB">
              <w:rPr>
                <w:rFonts w:ascii="Calibri" w:eastAsia="Times New Roman" w:hAnsi="Calibri" w:cs="Calibri"/>
                <w:kern w:val="0"/>
                <w:lang w:eastAsia="en-GB"/>
                <w14:ligatures w14:val="none"/>
              </w:rPr>
              <w:t>upervisors will provide firm-specific feedback to firms and their auditors through continuous assessment meetings and the auditor-supervisor dialogue.</w:t>
            </w:r>
            <w:r w:rsidR="002F639F">
              <w:rPr>
                <w:rFonts w:ascii="Calibri" w:eastAsia="Times New Roman" w:hAnsi="Calibri" w:cs="Calibri"/>
                <w:kern w:val="0"/>
                <w:lang w:eastAsia="en-GB"/>
                <w14:ligatures w14:val="none"/>
              </w:rPr>
              <w:t xml:space="preserve"> As noted above, this policy tool is thematic guidance and so does not carry obligations that a firm must comply with, rather it is a set of best practices and areas to focus on.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6B8BFF21" w:rsidR="00702413" w:rsidRPr="00CF2E7C" w:rsidRDefault="0021109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4C773C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11093">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22B1443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11093">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0593420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11093">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0047563A" w:rsidR="00702413" w:rsidRPr="00CF2E7C" w:rsidRDefault="0021109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4BC3A6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11093">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02A9C276" w:rsidR="002F639F" w:rsidRPr="00CF2E7C" w:rsidRDefault="00211093" w:rsidP="0035220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tool focuses on improving portfolio-wide accounting practices.</w:t>
            </w:r>
            <w:r w:rsidR="002F639F">
              <w:rPr>
                <w:rFonts w:ascii="Calibri" w:eastAsia="Times New Roman" w:hAnsi="Calibri" w:cs="Calibri"/>
                <w:kern w:val="0"/>
                <w:lang w:eastAsia="en-GB"/>
                <w14:ligatures w14:val="none"/>
              </w:rPr>
              <w:t xml:space="preserve"> Paragraph 7 of Annex 2 places the PRA’s focus on climate-related accounting into the context of general financial stability. </w:t>
            </w:r>
            <w:r w:rsidR="00352209">
              <w:rPr>
                <w:rFonts w:ascii="Calibri" w:eastAsia="Times New Roman" w:hAnsi="Calibri" w:cs="Calibri"/>
                <w:kern w:val="0"/>
                <w:lang w:eastAsia="en-GB"/>
                <w14:ligatures w14:val="none"/>
              </w:rPr>
              <w:t xml:space="preserve">It does not set out specific requirements for risk management and governance. </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1E84A086" w:rsidR="00C82860" w:rsidRPr="00CF2E7C" w:rsidRDefault="005D7A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79BDDA4B"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036C6E67" w:rsidR="00C82860" w:rsidRPr="00CF2E7C" w:rsidRDefault="005D7A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1E4047E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52209" w:rsidRPr="009C4D10" w14:paraId="5B4EFD55" w14:textId="77777777" w:rsidTr="0035220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E8E6D08" w14:textId="5D08B3C3" w:rsidR="00352209" w:rsidRPr="00CF2E7C" w:rsidRDefault="00352209" w:rsidP="00352209">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7DE7135F" w:rsidR="00352209" w:rsidRPr="00CF2E7C" w:rsidRDefault="00352209" w:rsidP="00352209">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B446E7A" w14:textId="420194E8" w:rsidR="00352209" w:rsidRPr="00CF2E7C" w:rsidRDefault="00352209" w:rsidP="00352209">
            <w:pPr>
              <w:textAlignment w:val="baseline"/>
              <w:rPr>
                <w:rFonts w:ascii="Calibri" w:eastAsia="Times New Roman" w:hAnsi="Calibri" w:cs="Calibri"/>
                <w:kern w:val="0"/>
                <w:lang w:eastAsia="en-GB"/>
                <w14:ligatures w14:val="none"/>
              </w:rPr>
            </w:pPr>
          </w:p>
        </w:tc>
      </w:tr>
      <w:tr w:rsidR="00352209" w:rsidRPr="009C4D10" w14:paraId="1B7CF6B6" w14:textId="77777777" w:rsidTr="0035220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2AB93D0" w14:textId="31E528AA" w:rsidR="00352209" w:rsidRPr="00CF2E7C" w:rsidRDefault="00352209" w:rsidP="00352209">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1F33579D" w:rsidR="00352209" w:rsidRPr="00CF2E7C" w:rsidRDefault="00352209" w:rsidP="00352209">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35769A7" w14:textId="7CC3BAC2" w:rsidR="00352209" w:rsidRPr="00CF2E7C" w:rsidRDefault="00352209" w:rsidP="00352209">
            <w:pPr>
              <w:textAlignment w:val="baseline"/>
              <w:rPr>
                <w:rFonts w:ascii="Calibri" w:eastAsia="Times New Roman" w:hAnsi="Calibri" w:cs="Calibri"/>
                <w:kern w:val="0"/>
                <w:lang w:eastAsia="en-GB"/>
                <w14:ligatures w14:val="none"/>
              </w:rPr>
            </w:pPr>
          </w:p>
        </w:tc>
      </w:tr>
      <w:tr w:rsidR="00352209" w:rsidRPr="009C4D10" w14:paraId="26AD2862" w14:textId="77777777" w:rsidTr="0035220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62B20717" w14:textId="3F55E005" w:rsidR="00352209" w:rsidRPr="00CF2E7C" w:rsidRDefault="00352209" w:rsidP="00352209">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279AF253"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59E5846" w14:textId="0790322F" w:rsidR="00352209" w:rsidRPr="00CF2E7C" w:rsidRDefault="00352209" w:rsidP="00352209">
            <w:pPr>
              <w:textAlignment w:val="baseline"/>
              <w:rPr>
                <w:rFonts w:ascii="Calibri" w:eastAsia="Times New Roman" w:hAnsi="Calibri" w:cs="Calibri"/>
                <w:kern w:val="0"/>
                <w:lang w:eastAsia="en-GB"/>
                <w14:ligatures w14:val="none"/>
              </w:rPr>
            </w:pPr>
          </w:p>
        </w:tc>
      </w:tr>
      <w:tr w:rsidR="00352209" w:rsidRPr="009C4D10" w14:paraId="66EF45D2" w14:textId="77777777" w:rsidTr="0035220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663788A2"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0995F72" w14:textId="549C9EC0" w:rsidR="00352209" w:rsidRPr="00CF2E7C" w:rsidRDefault="00352209" w:rsidP="00352209">
            <w:pPr>
              <w:textAlignment w:val="baseline"/>
              <w:rPr>
                <w:rFonts w:ascii="Calibri" w:eastAsia="Times New Roman" w:hAnsi="Calibri" w:cs="Calibri"/>
                <w:kern w:val="0"/>
                <w:lang w:eastAsia="en-GB"/>
                <w14:ligatures w14:val="none"/>
              </w:rPr>
            </w:pPr>
          </w:p>
        </w:tc>
      </w:tr>
      <w:tr w:rsidR="00352209" w:rsidRPr="009C4D10" w14:paraId="25602148" w14:textId="77777777" w:rsidTr="0035220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3C5B7310" w14:textId="16DB385A" w:rsidR="00352209" w:rsidRPr="00CF2E7C" w:rsidRDefault="00352209" w:rsidP="00352209">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4A118739"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496D97F1" w:rsidR="00352209" w:rsidRPr="00CF2E7C" w:rsidRDefault="00352209" w:rsidP="003522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35892F2" w14:textId="77777777" w:rsidR="00C82860" w:rsidRDefault="005D7A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 Annex 2, </w:t>
            </w:r>
            <w:r w:rsidR="00352209">
              <w:rPr>
                <w:rFonts w:ascii="Calibri" w:eastAsia="Times New Roman" w:hAnsi="Calibri" w:cs="Calibri"/>
                <w:kern w:val="0"/>
                <w:lang w:eastAsia="en-GB"/>
                <w14:ligatures w14:val="none"/>
              </w:rPr>
              <w:t xml:space="preserve">paragraph 10, the PRA identified several best practice examples from firms, which included: </w:t>
            </w:r>
          </w:p>
          <w:p w14:paraId="1B79F15E" w14:textId="77777777" w:rsidR="00352209" w:rsidRDefault="00352209" w:rsidP="0035220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352209">
              <w:rPr>
                <w:rFonts w:ascii="Calibri" w:eastAsia="Times New Roman" w:hAnsi="Calibri" w:cs="Calibri"/>
                <w:i/>
                <w:iCs/>
                <w:kern w:val="0"/>
                <w:lang w:eastAsia="en-GB"/>
                <w14:ligatures w14:val="none"/>
              </w:rPr>
              <w:t>Increased use of quantitative analysis and targeted reviews to help identify risk drivers most relevant to key portfolios, and to distinguish between immediate and emerging risks.</w:t>
            </w:r>
            <w:r>
              <w:rPr>
                <w:rFonts w:ascii="Calibri" w:eastAsia="Times New Roman" w:hAnsi="Calibri" w:cs="Calibri"/>
                <w:kern w:val="0"/>
                <w:lang w:eastAsia="en-GB"/>
                <w14:ligatures w14:val="none"/>
              </w:rPr>
              <w:t>”</w:t>
            </w:r>
          </w:p>
          <w:p w14:paraId="0A4F2F1A" w14:textId="148776CD" w:rsidR="00426459" w:rsidRDefault="00426459" w:rsidP="0035220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 Annex 2, paragraph 14, the PRA noted the best practice of some firms who were using: </w:t>
            </w:r>
          </w:p>
          <w:p w14:paraId="1A0D1604" w14:textId="2859B3DA" w:rsidR="00426459" w:rsidRDefault="00426459" w:rsidP="0042645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426459">
              <w:rPr>
                <w:rFonts w:ascii="Calibri" w:eastAsia="Times New Roman" w:hAnsi="Calibri" w:cs="Calibri"/>
                <w:i/>
                <w:iCs/>
                <w:kern w:val="0"/>
                <w:lang w:eastAsia="en-GB"/>
                <w14:ligatures w14:val="none"/>
              </w:rPr>
              <w:t>Enhanced quantitative approaches to measure the impact of specific risk drivers on ECL</w:t>
            </w:r>
            <w:r>
              <w:rPr>
                <w:rFonts w:ascii="Calibri" w:eastAsia="Times New Roman" w:hAnsi="Calibri" w:cs="Calibri"/>
                <w:kern w:val="0"/>
                <w:lang w:eastAsia="en-GB"/>
                <w14:ligatures w14:val="none"/>
              </w:rPr>
              <w:t xml:space="preserve"> [Expected Credit Loss]</w:t>
            </w:r>
            <w:r w:rsidRPr="00426459">
              <w:rPr>
                <w:rFonts w:ascii="Calibri" w:eastAsia="Times New Roman" w:hAnsi="Calibri" w:cs="Calibri"/>
                <w:i/>
                <w:iCs/>
                <w:kern w:val="0"/>
                <w:lang w:eastAsia="en-GB"/>
                <w14:ligatures w14:val="none"/>
              </w:rPr>
              <w:t xml:space="preserve"> for key portfolios. These generally focussed on energy efficiency, flood risk, and subsidence.</w:t>
            </w:r>
            <w:r>
              <w:rPr>
                <w:rFonts w:ascii="Calibri" w:eastAsia="Times New Roman" w:hAnsi="Calibri" w:cs="Calibri"/>
                <w:kern w:val="0"/>
                <w:lang w:eastAsia="en-GB"/>
                <w14:ligatures w14:val="none"/>
              </w:rPr>
              <w:t>”</w:t>
            </w:r>
            <w:r w:rsidRPr="00426459">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And</w:t>
            </w:r>
          </w:p>
          <w:p w14:paraId="2A094385" w14:textId="79F53BA2" w:rsidR="00426459" w:rsidRDefault="00426459" w:rsidP="0042645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426459">
              <w:rPr>
                <w:rFonts w:ascii="Calibri" w:eastAsia="Times New Roman" w:hAnsi="Calibri" w:cs="Calibri"/>
                <w:i/>
                <w:iCs/>
                <w:kern w:val="0"/>
                <w:lang w:eastAsia="en-GB"/>
                <w14:ligatures w14:val="none"/>
              </w:rPr>
              <w:t>For assessing the impact of flood risk, some firms focused on the impact of property damage on default risk. These used third party data, post codes, and inhouse models to estimate flood risk probability and damage value to adjust the customer disposable income assessments used to estimate PD</w:t>
            </w:r>
            <w:r>
              <w:rPr>
                <w:rFonts w:ascii="Calibri" w:eastAsia="Times New Roman" w:hAnsi="Calibri" w:cs="Calibri"/>
                <w:kern w:val="0"/>
                <w:lang w:eastAsia="en-GB"/>
                <w14:ligatures w14:val="none"/>
              </w:rPr>
              <w:t xml:space="preserve"> [Probability of Default]</w:t>
            </w:r>
            <w:r w:rsidRPr="00426459">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p>
          <w:p w14:paraId="52131648" w14:textId="6FBD368A" w:rsidR="00426459" w:rsidRDefault="00426459" w:rsidP="0042645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 xml:space="preserve">In the context of modelling </w:t>
            </w:r>
            <w:r w:rsidR="003A18A3">
              <w:rPr>
                <w:rFonts w:ascii="Calibri" w:eastAsia="Times New Roman" w:hAnsi="Calibri" w:cs="Calibri"/>
                <w:kern w:val="0"/>
                <w:lang w:eastAsia="en-GB"/>
                <w14:ligatures w14:val="none"/>
              </w:rPr>
              <w:t xml:space="preserve">portfolio exposures at a broader macro-economic level, at Annex 2, paragraph 17, the PRA noted the best practice of some firms included: </w:t>
            </w:r>
          </w:p>
          <w:p w14:paraId="29589671" w14:textId="0F568A2A" w:rsidR="003A18A3" w:rsidRDefault="003A18A3" w:rsidP="003A18A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3A18A3">
              <w:rPr>
                <w:rFonts w:ascii="Calibri" w:eastAsia="Times New Roman" w:hAnsi="Calibri" w:cs="Calibri"/>
                <w:i/>
                <w:iCs/>
                <w:kern w:val="0"/>
                <w:lang w:eastAsia="en-GB"/>
                <w14:ligatures w14:val="none"/>
              </w:rPr>
              <w:t>developing models to produce climate adjusted forecasts for macro-economic variables used by existing IFRS 9 models, such as GDP and unemployment. For example, to implicitly capture changes in carbon pricing in ECL.</w:t>
            </w:r>
            <w:r>
              <w:rPr>
                <w:rFonts w:ascii="Calibri" w:eastAsia="Times New Roman" w:hAnsi="Calibri" w:cs="Calibri"/>
                <w:kern w:val="0"/>
                <w:lang w:eastAsia="en-GB"/>
                <w14:ligatures w14:val="none"/>
              </w:rPr>
              <w:t>”</w:t>
            </w:r>
          </w:p>
          <w:p w14:paraId="04BEEE48" w14:textId="1E851F36" w:rsidR="003A18A3" w:rsidRDefault="003A18A3" w:rsidP="003A18A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As such, the policy tool encourages firms to use a wide range of quantitative metrics to assess the different types of risk within their portfolio and to accurately account for these. </w:t>
            </w:r>
          </w:p>
          <w:p w14:paraId="593BA361" w14:textId="7773919A" w:rsidR="00352209" w:rsidRPr="00CF2E7C" w:rsidRDefault="00352209" w:rsidP="00352209">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7ECDABF7" w:rsidR="00655FF7" w:rsidRPr="00CF2E7C" w:rsidRDefault="00D80C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66064B4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1A8370FD" w:rsidR="003032A9" w:rsidRPr="00CF2E7C" w:rsidRDefault="00D80C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3F924D3D" w:rsidR="003D5104" w:rsidRPr="00CF2E7C" w:rsidRDefault="00D80C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6AA9E0E5" w:rsidR="00BE1F9E" w:rsidRPr="00CF2E7C" w:rsidRDefault="00D80C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D9B4EF7" w14:textId="0D091921" w:rsidR="00BE1F9E" w:rsidRDefault="00D80C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 Annex 2, </w:t>
            </w:r>
            <w:r w:rsidR="00F86332">
              <w:rPr>
                <w:rFonts w:ascii="Calibri" w:eastAsia="Times New Roman" w:hAnsi="Calibri" w:cs="Calibri"/>
                <w:kern w:val="0"/>
                <w:lang w:eastAsia="en-GB"/>
                <w14:ligatures w14:val="none"/>
              </w:rPr>
              <w:t xml:space="preserve">paragraph 17, </w:t>
            </w:r>
            <w:r>
              <w:rPr>
                <w:rFonts w:ascii="Calibri" w:eastAsia="Times New Roman" w:hAnsi="Calibri" w:cs="Calibri"/>
                <w:kern w:val="0"/>
                <w:lang w:eastAsia="en-GB"/>
                <w14:ligatures w14:val="none"/>
              </w:rPr>
              <w:t>the policy tool</w:t>
            </w:r>
            <w:r w:rsidR="00F86332">
              <w:rPr>
                <w:rFonts w:ascii="Calibri" w:eastAsia="Times New Roman" w:hAnsi="Calibri" w:cs="Calibri"/>
                <w:kern w:val="0"/>
                <w:lang w:eastAsia="en-GB"/>
                <w14:ligatures w14:val="none"/>
              </w:rPr>
              <w:t xml:space="preserve"> outlines some best practice examples that include how</w:t>
            </w:r>
            <w:r>
              <w:rPr>
                <w:rFonts w:ascii="Calibri" w:eastAsia="Times New Roman" w:hAnsi="Calibri" w:cs="Calibri"/>
                <w:kern w:val="0"/>
                <w:lang w:eastAsia="en-GB"/>
                <w14:ligatures w14:val="none"/>
              </w:rPr>
              <w:t xml:space="preserve"> firms have used their own models to calculate ECL to reflect the impact of climate-related risk drivers. They have produced climate adjusted forecasts for macro-economic variables used by existing IFRS 9 models, have benchmarked key macro variables against external climate scenarios (such as those published by the Network for Greening the Financial System)</w:t>
            </w:r>
            <w:r w:rsidR="00FC07EF">
              <w:rPr>
                <w:rFonts w:ascii="Calibri" w:eastAsia="Times New Roman" w:hAnsi="Calibri" w:cs="Calibri"/>
                <w:kern w:val="0"/>
                <w:lang w:eastAsia="en-GB"/>
                <w14:ligatures w14:val="none"/>
              </w:rPr>
              <w:t>, and have introduced new climate-related variables</w:t>
            </w:r>
            <w:r w:rsidR="00F86332">
              <w:rPr>
                <w:rFonts w:ascii="Calibri" w:eastAsia="Times New Roman" w:hAnsi="Calibri" w:cs="Calibri"/>
                <w:kern w:val="0"/>
                <w:lang w:eastAsia="en-GB"/>
                <w14:ligatures w14:val="none"/>
              </w:rPr>
              <w:t xml:space="preserve"> (see Annex 2, paragraph 17)</w:t>
            </w:r>
            <w:r w:rsidR="00FC07EF">
              <w:rPr>
                <w:rFonts w:ascii="Calibri" w:eastAsia="Times New Roman" w:hAnsi="Calibri" w:cs="Calibri"/>
                <w:kern w:val="0"/>
                <w:lang w:eastAsia="en-GB"/>
                <w14:ligatures w14:val="none"/>
              </w:rPr>
              <w:t>.</w:t>
            </w:r>
          </w:p>
          <w:p w14:paraId="02877E23" w14:textId="6C4FDB8A" w:rsidR="00F86332" w:rsidRDefault="00F863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These processes are not regulatory requirements, given the nature of the policy tool as a thematic review these are more like guidelines. </w:t>
            </w:r>
          </w:p>
          <w:p w14:paraId="5C18CF55" w14:textId="32CB5C83" w:rsidR="00F86332" w:rsidRPr="00CF2E7C" w:rsidRDefault="00F86332"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6A5BD3A6" w:rsidR="00DC31BF" w:rsidRPr="00CF2E7C" w:rsidRDefault="00FC07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FD36C3B" w:rsidR="0098226E" w:rsidRPr="00CF2E7C" w:rsidRDefault="00FC07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4CEC06F9" w:rsidR="00F10A6E" w:rsidRPr="00CF2E7C" w:rsidRDefault="00FC07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w:t>
            </w:r>
            <w:r w:rsidRPr="00CF2E7C">
              <w:rPr>
                <w:rFonts w:ascii="Calibri" w:eastAsia="Times New Roman" w:hAnsi="Calibri" w:cs="Calibri"/>
                <w:kern w:val="0"/>
                <w:lang w:eastAsia="en-GB"/>
                <w14:ligatures w14:val="none"/>
              </w:rPr>
              <w:lastRenderedPageBreak/>
              <w:t xml:space="preserve">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0ED06756" w:rsidR="00F26296" w:rsidRPr="00CF2E7C" w:rsidRDefault="00FC07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4E4E39C" w14:textId="0B984A9C" w:rsidR="00FA1521" w:rsidRDefault="00F863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Annex 2, paragraph 14 sets out how certain firms have used enhanced versions of their scenario analyses used for stress-</w:t>
            </w:r>
            <w:r w:rsidR="00FA1521">
              <w:rPr>
                <w:rFonts w:ascii="Calibri" w:eastAsia="Times New Roman" w:hAnsi="Calibri" w:cs="Calibri"/>
                <w:kern w:val="0"/>
                <w:lang w:eastAsia="en-GB"/>
                <w14:ligatures w14:val="none"/>
              </w:rPr>
              <w:t>testing to inform more granular loan-level assessments of their portfolio.</w:t>
            </w:r>
          </w:p>
          <w:p w14:paraId="02DA5710" w14:textId="16F9A41C" w:rsidR="00F26296" w:rsidRPr="00CF2E7C" w:rsidRDefault="00FA15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Annex 2, paragraph 17 sets out how t</w:t>
            </w:r>
            <w:r w:rsidR="00FC07EF">
              <w:rPr>
                <w:rFonts w:ascii="Calibri" w:eastAsia="Times New Roman" w:hAnsi="Calibri" w:cs="Calibri"/>
                <w:kern w:val="0"/>
                <w:lang w:eastAsia="en-GB"/>
                <w14:ligatures w14:val="none"/>
              </w:rPr>
              <w:t>he exercises are used to identify how economic scenarios and weightings used for ECL calculations should be adapted to incorporate climate-related risk drivers.</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0C04F306" w:rsidR="00F26296" w:rsidRPr="00CF2E7C" w:rsidRDefault="000430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F26296" w:rsidRPr="00CF2E7C">
              <w:rPr>
                <w:rFonts w:ascii="Calibri" w:eastAsia="Times New Roman" w:hAnsi="Calibri" w:cs="Calibri"/>
                <w:kern w:val="0"/>
                <w:lang w:val="en-SG" w:eastAsia="en-GB"/>
                <w14:ligatures w14:val="none"/>
              </w:rPr>
              <w:t> </w:t>
            </w:r>
            <w:r w:rsidR="00F26296"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34EBD79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430A3">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lastRenderedPageBreak/>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3133DA0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2D3F8441"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83358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tcPr>
          <w:p w14:paraId="6BADE2A8" w14:textId="78C16FF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159C9B8" w14:textId="77777777" w:rsidTr="0083358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tcPr>
          <w:p w14:paraId="3353CFDB" w14:textId="2FF0C24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2EB7594" w14:textId="77777777" w:rsidTr="0083358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tcPr>
          <w:p w14:paraId="0DF59F43" w14:textId="4259E12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83358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0055121B" w14:textId="0D1F7A53"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83358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66CFB58D" w14:textId="0BA47DE0"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A737A8C" w:rsidR="00702413" w:rsidRPr="009C4D10" w:rsidRDefault="00E7120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One of the key challenges noted by the PRA is the lack of quality data for firms to base their accounting on. The difficulty of quantifying climate risk means that firms are reliant on qualitative assessments that rely on expert judgment. </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E7882C6" w:rsidR="00FE0EA5" w:rsidRPr="009C4D10" w:rsidRDefault="00DB49F2" w:rsidP="00CF2E7C">
            <w:pPr>
              <w:rPr>
                <w:rFonts w:cstheme="minorHAnsi"/>
              </w:rPr>
            </w:pPr>
            <w:r>
              <w:rPr>
                <w:rFonts w:cstheme="minorHAnsi"/>
                <w:lang w:val="en-SG"/>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3F6EA5C0" w:rsidR="00FE0EA5" w:rsidRPr="009C4D10" w:rsidRDefault="00F94421"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DB49F2"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38F05CE6" w:rsidR="00FE0EA5" w:rsidRPr="009C4D10" w:rsidRDefault="00DB49F2" w:rsidP="00CF2E7C">
            <w:pPr>
              <w:rPr>
                <w:rFonts w:cstheme="minorHAnsi"/>
              </w:rPr>
            </w:pPr>
            <w:r>
              <w:rPr>
                <w:rFonts w:cstheme="minorHAnsi"/>
                <w:lang w:val="en-SG"/>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DB49F2"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4CAEEC1B" w:rsidR="00FE0EA5" w:rsidRPr="009C4D10" w:rsidRDefault="00DB49F2" w:rsidP="00CF2E7C">
            <w:pPr>
              <w:rPr>
                <w:rFonts w:cstheme="minorHAnsi"/>
              </w:rPr>
            </w:pPr>
            <w:r>
              <w:rPr>
                <w:rFonts w:cstheme="minorHAnsi"/>
                <w:lang w:val="en-SG"/>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1331F75" w:rsidR="00FE0EA5" w:rsidRPr="009C4D10" w:rsidRDefault="00DB49F2" w:rsidP="00CF2E7C">
            <w:pPr>
              <w:rPr>
                <w:rFonts w:cstheme="minorHAnsi"/>
              </w:rPr>
            </w:pPr>
            <w:r>
              <w:rPr>
                <w:rFonts w:cstheme="minorHAnsi"/>
                <w:lang w:val="en-SG"/>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84B6BEB" w:rsidR="00FE0EA5" w:rsidRPr="009C4D10" w:rsidRDefault="00DB49F2" w:rsidP="00CF2E7C">
            <w:pPr>
              <w:rPr>
                <w:rFonts w:cstheme="minorHAnsi"/>
              </w:rPr>
            </w:pPr>
            <w:r>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7664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B35CA" w:rsidRDefault="002F0752" w:rsidP="00CF2E7C">
            <w:pPr>
              <w:rPr>
                <w:rFonts w:ascii="Calibri" w:hAnsi="Calibri" w:cs="Calibri"/>
                <w:lang w:val="fr-FR"/>
              </w:rPr>
            </w:pPr>
            <w:r w:rsidRPr="007B35CA">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7B35CA" w:rsidRDefault="002F0752" w:rsidP="00CF2E7C">
            <w:pPr>
              <w:rPr>
                <w:rFonts w:ascii="Calibri" w:hAnsi="Calibri" w:cs="Calibri"/>
                <w:lang w:val="fr-FR"/>
              </w:rPr>
            </w:pPr>
          </w:p>
        </w:tc>
      </w:tr>
      <w:tr w:rsidR="002F0752" w:rsidRPr="00D1195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8A5D46" w14:textId="77777777" w:rsidR="007727B4" w:rsidRDefault="007727B4" w:rsidP="00874E39">
      <w:r>
        <w:separator/>
      </w:r>
    </w:p>
  </w:endnote>
  <w:endnote w:type="continuationSeparator" w:id="0">
    <w:p w14:paraId="4351147E" w14:textId="77777777" w:rsidR="007727B4" w:rsidRDefault="007727B4" w:rsidP="00874E39">
      <w:r>
        <w:continuationSeparator/>
      </w:r>
    </w:p>
  </w:endnote>
  <w:endnote w:type="continuationNotice" w:id="1">
    <w:p w14:paraId="4B7E56DD" w14:textId="77777777" w:rsidR="007727B4" w:rsidRDefault="007727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2D997912" w:rsidR="00874E39" w:rsidRDefault="00874E39" w:rsidP="00243D8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7089087D"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2A878F84"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583A26" w14:textId="77777777" w:rsidR="007727B4" w:rsidRDefault="007727B4" w:rsidP="00874E39">
      <w:r>
        <w:separator/>
      </w:r>
    </w:p>
  </w:footnote>
  <w:footnote w:type="continuationSeparator" w:id="0">
    <w:p w14:paraId="1E589E0A" w14:textId="77777777" w:rsidR="007727B4" w:rsidRDefault="007727B4" w:rsidP="00874E39">
      <w:r>
        <w:continuationSeparator/>
      </w:r>
    </w:p>
  </w:footnote>
  <w:footnote w:type="continuationNotice" w:id="1">
    <w:p w14:paraId="30CB6D64" w14:textId="77777777" w:rsidR="007727B4" w:rsidRDefault="007727B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F17DC" w14:textId="77777777" w:rsidR="003E4077" w:rsidRDefault="003E40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A4BE3" w14:textId="77777777" w:rsidR="003E4077" w:rsidRDefault="003E407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600"/>
    <w:rsid w:val="000372C9"/>
    <w:rsid w:val="000403CE"/>
    <w:rsid w:val="00040F2E"/>
    <w:rsid w:val="00040F48"/>
    <w:rsid w:val="00041BB2"/>
    <w:rsid w:val="00042406"/>
    <w:rsid w:val="00042518"/>
    <w:rsid w:val="000428FA"/>
    <w:rsid w:val="000430A3"/>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2E2A"/>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64A"/>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846"/>
    <w:rsid w:val="00203B08"/>
    <w:rsid w:val="002040F6"/>
    <w:rsid w:val="00204C4D"/>
    <w:rsid w:val="0020589D"/>
    <w:rsid w:val="00205D5A"/>
    <w:rsid w:val="002069B2"/>
    <w:rsid w:val="00206E20"/>
    <w:rsid w:val="00210E0F"/>
    <w:rsid w:val="00211093"/>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D82"/>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39F"/>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209"/>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8A3"/>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07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459"/>
    <w:rsid w:val="00426919"/>
    <w:rsid w:val="00427085"/>
    <w:rsid w:val="00430927"/>
    <w:rsid w:val="00430E44"/>
    <w:rsid w:val="00432DF0"/>
    <w:rsid w:val="00432E52"/>
    <w:rsid w:val="00433033"/>
    <w:rsid w:val="004333DA"/>
    <w:rsid w:val="00433B13"/>
    <w:rsid w:val="00434724"/>
    <w:rsid w:val="00434B6A"/>
    <w:rsid w:val="0043666A"/>
    <w:rsid w:val="00436F24"/>
    <w:rsid w:val="0043773E"/>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BDC"/>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09E"/>
    <w:rsid w:val="004A76A9"/>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A78"/>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63"/>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71D7"/>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4F08"/>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4D17"/>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DD8"/>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7B4"/>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5CA"/>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588"/>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1BC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6"/>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2ECD"/>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9A6"/>
    <w:rsid w:val="00A42235"/>
    <w:rsid w:val="00A42858"/>
    <w:rsid w:val="00A43199"/>
    <w:rsid w:val="00A43AFC"/>
    <w:rsid w:val="00A445CD"/>
    <w:rsid w:val="00A45776"/>
    <w:rsid w:val="00A46507"/>
    <w:rsid w:val="00A46BEA"/>
    <w:rsid w:val="00A47C6E"/>
    <w:rsid w:val="00A501D9"/>
    <w:rsid w:val="00A503F1"/>
    <w:rsid w:val="00A531BB"/>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5D7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A60"/>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0D5"/>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004"/>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AFA"/>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95D"/>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437F"/>
    <w:rsid w:val="00D7554F"/>
    <w:rsid w:val="00D765DD"/>
    <w:rsid w:val="00D76854"/>
    <w:rsid w:val="00D80C46"/>
    <w:rsid w:val="00D80C9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9F2"/>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3F7"/>
    <w:rsid w:val="00DD694D"/>
    <w:rsid w:val="00DD72BD"/>
    <w:rsid w:val="00DD761B"/>
    <w:rsid w:val="00DE0079"/>
    <w:rsid w:val="00DE0517"/>
    <w:rsid w:val="00DE11DA"/>
    <w:rsid w:val="00DE2473"/>
    <w:rsid w:val="00DE3DC0"/>
    <w:rsid w:val="00DE78F0"/>
    <w:rsid w:val="00DF001D"/>
    <w:rsid w:val="00DF0A63"/>
    <w:rsid w:val="00DF2285"/>
    <w:rsid w:val="00DF29AB"/>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200"/>
    <w:rsid w:val="00E71E7C"/>
    <w:rsid w:val="00E727D2"/>
    <w:rsid w:val="00E73270"/>
    <w:rsid w:val="00E7355A"/>
    <w:rsid w:val="00E73663"/>
    <w:rsid w:val="00E738CA"/>
    <w:rsid w:val="00E7486E"/>
    <w:rsid w:val="00E75E25"/>
    <w:rsid w:val="00E76F8F"/>
    <w:rsid w:val="00E81727"/>
    <w:rsid w:val="00E8221C"/>
    <w:rsid w:val="00E82ADD"/>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332"/>
    <w:rsid w:val="00F86AAC"/>
    <w:rsid w:val="00F86D14"/>
    <w:rsid w:val="00F87716"/>
    <w:rsid w:val="00F87E26"/>
    <w:rsid w:val="00F909A2"/>
    <w:rsid w:val="00F90B02"/>
    <w:rsid w:val="00F921FF"/>
    <w:rsid w:val="00F94421"/>
    <w:rsid w:val="00F9442E"/>
    <w:rsid w:val="00F944F3"/>
    <w:rsid w:val="00F946F6"/>
    <w:rsid w:val="00F94F26"/>
    <w:rsid w:val="00F9516C"/>
    <w:rsid w:val="00F9576A"/>
    <w:rsid w:val="00F96F02"/>
    <w:rsid w:val="00F973EA"/>
    <w:rsid w:val="00F97EEE"/>
    <w:rsid w:val="00FA0392"/>
    <w:rsid w:val="00FA0CF8"/>
    <w:rsid w:val="00FA119A"/>
    <w:rsid w:val="00FA1521"/>
    <w:rsid w:val="00FA2D54"/>
    <w:rsid w:val="00FA38D8"/>
    <w:rsid w:val="00FA4B8D"/>
    <w:rsid w:val="00FA6DED"/>
    <w:rsid w:val="00FA76DF"/>
    <w:rsid w:val="00FA78EA"/>
    <w:rsid w:val="00FB5A70"/>
    <w:rsid w:val="00FC0689"/>
    <w:rsid w:val="00FC07EF"/>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2161331/https://www.bankofengland.co.uk/-/media/boe/files/prudential-regulation/letter/2024/thematic-feedback-on-accounting-for-ifrs-9-ecl-and-climate-risk.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112</Pages>
  <Words>22890</Words>
  <Characters>130477</Characters>
  <Application>Microsoft Office Word</Application>
  <DocSecurity>0</DocSecurity>
  <Lines>1087</Lines>
  <Paragraphs>306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Frischemeier, Yasmin</cp:lastModifiedBy>
  <cp:revision>2</cp:revision>
  <cp:lastPrinted>2025-03-21T00:14:00Z</cp:lastPrinted>
  <dcterms:created xsi:type="dcterms:W3CDTF">2025-07-21T19:16:00Z</dcterms:created>
  <dcterms:modified xsi:type="dcterms:W3CDTF">2025-07-21T19:16:00Z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